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EA232" w14:textId="77777777" w:rsidR="00525EA7" w:rsidRDefault="00917A0F">
      <w:pPr>
        <w:tabs>
          <w:tab w:val="center" w:pos="4680"/>
          <w:tab w:val="center" w:pos="9360"/>
        </w:tabs>
        <w:spacing w:after="7" w:line="259" w:lineRule="auto"/>
        <w:ind w:left="0" w:right="0" w:firstLine="0"/>
      </w:pPr>
      <w:r>
        <w:rPr>
          <w:color w:val="7F7F7F"/>
          <w:sz w:val="18"/>
        </w:rPr>
        <w:t xml:space="preserve">Last updated: December 2022 </w:t>
      </w:r>
      <w:r>
        <w:rPr>
          <w:color w:val="7F7F7F"/>
          <w:sz w:val="18"/>
        </w:rPr>
        <w:tab/>
        <w:t xml:space="preserve">  </w:t>
      </w:r>
      <w:r>
        <w:rPr>
          <w:color w:val="7F7F7F"/>
          <w:sz w:val="18"/>
        </w:rPr>
        <w:tab/>
        <w:t xml:space="preserve"> </w:t>
      </w:r>
    </w:p>
    <w:p w14:paraId="3B215020" w14:textId="77777777" w:rsidR="00525EA7" w:rsidRDefault="00917A0F">
      <w:pPr>
        <w:spacing w:after="633" w:line="259" w:lineRule="auto"/>
        <w:ind w:left="0" w:right="0" w:firstLine="0"/>
      </w:pPr>
      <w:r>
        <w:rPr>
          <w:color w:val="4B4F54"/>
          <w:sz w:val="18"/>
        </w:rPr>
        <w:t xml:space="preserve"> </w:t>
      </w:r>
    </w:p>
    <w:p w14:paraId="080BAE0D" w14:textId="77777777" w:rsidR="00525EA7" w:rsidRDefault="00917A0F">
      <w:pPr>
        <w:shd w:val="clear" w:color="auto" w:fill="9A3324"/>
        <w:spacing w:after="626" w:line="259" w:lineRule="auto"/>
        <w:ind w:left="0" w:right="0" w:firstLine="0"/>
      </w:pPr>
      <w:r>
        <w:rPr>
          <w:noProof/>
        </w:rPr>
        <w:drawing>
          <wp:anchor distT="0" distB="0" distL="114300" distR="114300" simplePos="0" relativeHeight="251658240" behindDoc="1" locked="0" layoutInCell="1" allowOverlap="0" wp14:anchorId="32766F2B" wp14:editId="04938716">
            <wp:simplePos x="0" y="0"/>
            <wp:positionH relativeFrom="column">
              <wp:posOffset>-176771</wp:posOffset>
            </wp:positionH>
            <wp:positionV relativeFrom="paragraph">
              <wp:posOffset>34501</wp:posOffset>
            </wp:positionV>
            <wp:extent cx="3965448" cy="323088"/>
            <wp:effectExtent l="0" t="0" r="0" b="0"/>
            <wp:wrapNone/>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a:stretch>
                      <a:fillRect/>
                    </a:stretch>
                  </pic:blipFill>
                  <pic:spPr>
                    <a:xfrm>
                      <a:off x="0" y="0"/>
                      <a:ext cx="3965448" cy="323088"/>
                    </a:xfrm>
                    <a:prstGeom prst="rect">
                      <a:avLst/>
                    </a:prstGeom>
                  </pic:spPr>
                </pic:pic>
              </a:graphicData>
            </a:graphic>
          </wp:anchor>
        </w:drawing>
      </w:r>
      <w:r>
        <w:rPr>
          <w:color w:val="FFFFFF"/>
          <w:sz w:val="28"/>
        </w:rPr>
        <w:t xml:space="preserve">TERMS OF REFERENCE </w:t>
      </w:r>
    </w:p>
    <w:p w14:paraId="4320D4B5" w14:textId="77777777" w:rsidR="00525EA7" w:rsidRDefault="00917A0F">
      <w:pPr>
        <w:pStyle w:val="Heading1"/>
      </w:pPr>
      <w:r>
        <w:t xml:space="preserve">Competence Committee Guidelines: Terms of Reference </w:t>
      </w:r>
    </w:p>
    <w:p w14:paraId="5D8CEF21" w14:textId="77777777" w:rsidR="00525EA7" w:rsidRDefault="00917A0F">
      <w:pPr>
        <w:spacing w:after="294" w:line="259" w:lineRule="auto"/>
        <w:ind w:left="0" w:right="0" w:firstLine="0"/>
      </w:pPr>
      <w:r>
        <w:t xml:space="preserve"> </w:t>
      </w:r>
      <w:r>
        <w:rPr>
          <w:noProof/>
          <w:sz w:val="22"/>
        </w:rPr>
        <mc:AlternateContent>
          <mc:Choice Requires="wpg">
            <w:drawing>
              <wp:inline distT="0" distB="0" distL="0" distR="0" wp14:anchorId="2AB20EE4" wp14:editId="0BF207A4">
                <wp:extent cx="5935218" cy="6350"/>
                <wp:effectExtent l="0" t="0" r="0" b="0"/>
                <wp:docPr id="1773" name="Group 1773"/>
                <wp:cNvGraphicFramePr/>
                <a:graphic xmlns:a="http://schemas.openxmlformats.org/drawingml/2006/main">
                  <a:graphicData uri="http://schemas.microsoft.com/office/word/2010/wordprocessingGroup">
                    <wpg:wgp>
                      <wpg:cNvGrpSpPr/>
                      <wpg:grpSpPr>
                        <a:xfrm>
                          <a:off x="0" y="0"/>
                          <a:ext cx="5935218" cy="6350"/>
                          <a:chOff x="0" y="0"/>
                          <a:chExt cx="5935218" cy="6350"/>
                        </a:xfrm>
                      </wpg:grpSpPr>
                      <wps:wsp>
                        <wps:cNvPr id="62" name="Shape 62"/>
                        <wps:cNvSpPr/>
                        <wps:spPr>
                          <a:xfrm>
                            <a:off x="0" y="0"/>
                            <a:ext cx="5935218" cy="0"/>
                          </a:xfrm>
                          <a:custGeom>
                            <a:avLst/>
                            <a:gdLst/>
                            <a:ahLst/>
                            <a:cxnLst/>
                            <a:rect l="0" t="0" r="0" b="0"/>
                            <a:pathLst>
                              <a:path w="5935218">
                                <a:moveTo>
                                  <a:pt x="0" y="0"/>
                                </a:moveTo>
                                <a:lnTo>
                                  <a:pt x="5935218" y="0"/>
                                </a:lnTo>
                              </a:path>
                            </a:pathLst>
                          </a:custGeom>
                          <a:ln w="6350" cap="flat">
                            <a:miter lim="101600"/>
                          </a:ln>
                        </wps:spPr>
                        <wps:style>
                          <a:lnRef idx="1">
                            <a:srgbClr val="00A3A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73" style="width:467.34pt;height:0.5pt;mso-position-horizontal-relative:char;mso-position-vertical-relative:line" coordsize="59352,63">
                <v:shape id="Shape 62" style="position:absolute;width:59352;height:0;left:0;top:0;" coordsize="5935218,0" path="m0,0l5935218,0">
                  <v:stroke weight="0.5pt" endcap="flat" joinstyle="miter" miterlimit="8" on="true" color="#00a3ad"/>
                  <v:fill on="false" color="#000000" opacity="0"/>
                </v:shape>
              </v:group>
            </w:pict>
          </mc:Fallback>
        </mc:AlternateContent>
      </w:r>
    </w:p>
    <w:p w14:paraId="02BEBADB" w14:textId="77777777" w:rsidR="00525EA7" w:rsidRDefault="00917A0F">
      <w:pPr>
        <w:pStyle w:val="Heading2"/>
        <w:ind w:left="-5"/>
      </w:pPr>
      <w:r>
        <w:t xml:space="preserve">General Considerations </w:t>
      </w:r>
    </w:p>
    <w:p w14:paraId="6A130C51" w14:textId="3BFAD2CC" w:rsidR="00525EA7" w:rsidRDefault="00917A0F">
      <w:pPr>
        <w:spacing w:after="199"/>
        <w:ind w:left="-5" w:right="53"/>
      </w:pPr>
      <w:r>
        <w:t xml:space="preserve">As part of Competence by Design, specialist education is broken down into a series of integrated stages. Promotion or advancement from one stage to the next is determined outside of the individual teacher-learner interaction at a group decision-making process of the Competence Committee. In this way, a Competence Committee is a critical component of Competence by Design (CBD) because it supports the regular, </w:t>
      </w:r>
      <w:r w:rsidR="00CB6513">
        <w:t>systematic,</w:t>
      </w:r>
      <w:r>
        <w:t xml:space="preserve"> and transparent review of a resident’s progress towards competence. The Competence Committee’s goal is to ensure that all learners achieve the requirements of the discipline. The Committee achieves this goal through the synthesis and review of qualitative and quantitative assessment data at each stage of training to determine and guide the resident’s progress. </w:t>
      </w:r>
    </w:p>
    <w:p w14:paraId="77CC786F" w14:textId="77777777" w:rsidR="00525EA7" w:rsidRDefault="00917A0F">
      <w:pPr>
        <w:spacing w:after="200"/>
        <w:ind w:left="-5" w:right="53"/>
      </w:pPr>
      <w:r>
        <w:t xml:space="preserve">This document provides the Postgraduate Dean, Program Director, Clinical Faculty, Competence Committee member Program Administrator as well as the Resident with information on the structure and function of Competence Committees within CBD. </w:t>
      </w:r>
    </w:p>
    <w:p w14:paraId="7A353893" w14:textId="77777777" w:rsidR="00525EA7" w:rsidRDefault="00917A0F">
      <w:pPr>
        <w:spacing w:after="286"/>
        <w:ind w:left="-5" w:right="53"/>
      </w:pPr>
      <w:r>
        <w:t xml:space="preserve">Note: this document is </w:t>
      </w:r>
      <w:r>
        <w:rPr>
          <w:sz w:val="21"/>
        </w:rPr>
        <w:t>not intended as a prescriptive template</w:t>
      </w:r>
      <w:r>
        <w:t xml:space="preserve">. Alternate approaches have merit when planned and implemented thoughtfully. Programs can adapt this material to their unique contexts provided they promote the principles of CBD, as outlined in this document. </w:t>
      </w:r>
    </w:p>
    <w:p w14:paraId="66C86226" w14:textId="77777777" w:rsidR="00525EA7" w:rsidRDefault="00917A0F">
      <w:pPr>
        <w:pStyle w:val="Heading2"/>
        <w:ind w:left="-5"/>
      </w:pPr>
      <w:r>
        <w:t xml:space="preserve">Role  </w:t>
      </w:r>
    </w:p>
    <w:p w14:paraId="306A4AA9" w14:textId="15239E1B" w:rsidR="00525EA7" w:rsidRDefault="00917A0F">
      <w:pPr>
        <w:spacing w:after="211"/>
        <w:ind w:left="-5" w:right="153"/>
      </w:pPr>
      <w:r>
        <w:t xml:space="preserve">A competence committee allows for an informed group decision-making process where </w:t>
      </w:r>
      <w:r w:rsidR="00CB6513">
        <w:t>patterns of</w:t>
      </w:r>
      <w:r>
        <w:t xml:space="preserve"> performance can be collated to reveal a broad picture of a resident’s progression toward competence. A Competence Committee mandate is to review and discuss learner portfolios </w:t>
      </w:r>
      <w:proofErr w:type="gramStart"/>
      <w:r w:rsidR="00CB6513">
        <w:t>in order</w:t>
      </w:r>
      <w:r>
        <w:t xml:space="preserve"> to</w:t>
      </w:r>
      <w:proofErr w:type="gramEnd"/>
      <w:r>
        <w:t xml:space="preserve">: </w:t>
      </w:r>
    </w:p>
    <w:p w14:paraId="78BEFCB9" w14:textId="33B9AC78" w:rsidR="00525EA7" w:rsidRDefault="00917A0F">
      <w:pPr>
        <w:numPr>
          <w:ilvl w:val="0"/>
          <w:numId w:val="1"/>
        </w:numPr>
        <w:ind w:right="53" w:hanging="360"/>
      </w:pPr>
      <w:r>
        <w:t xml:space="preserve">advise/guide resident learning and </w:t>
      </w:r>
      <w:r w:rsidR="00CB6513">
        <w:t>growth.</w:t>
      </w:r>
      <w:r>
        <w:t xml:space="preserve"> </w:t>
      </w:r>
    </w:p>
    <w:p w14:paraId="51F24269" w14:textId="77777777" w:rsidR="00525EA7" w:rsidRDefault="00917A0F">
      <w:pPr>
        <w:numPr>
          <w:ilvl w:val="0"/>
          <w:numId w:val="1"/>
        </w:numPr>
        <w:ind w:right="53" w:hanging="360"/>
      </w:pPr>
      <w:r>
        <w:t xml:space="preserve">modify a resident’s learning </w:t>
      </w:r>
      <w:proofErr w:type="gramStart"/>
      <w:r>
        <w:t>plan;</w:t>
      </w:r>
      <w:proofErr w:type="gramEnd"/>
      <w:r>
        <w:t xml:space="preserve"> </w:t>
      </w:r>
    </w:p>
    <w:p w14:paraId="55EAA410" w14:textId="77777777" w:rsidR="00525EA7" w:rsidRDefault="00917A0F">
      <w:pPr>
        <w:numPr>
          <w:ilvl w:val="0"/>
          <w:numId w:val="1"/>
        </w:numPr>
        <w:ind w:right="53" w:hanging="360"/>
      </w:pPr>
      <w:r>
        <w:t xml:space="preserve">make decisions on a learner’s achievement of </w:t>
      </w:r>
      <w:proofErr w:type="gramStart"/>
      <w:r>
        <w:t>EPAs;</w:t>
      </w:r>
      <w:proofErr w:type="gramEnd"/>
      <w:r>
        <w:t xml:space="preserve"> </w:t>
      </w:r>
    </w:p>
    <w:p w14:paraId="25A4E590" w14:textId="0A434893" w:rsidR="00525EA7" w:rsidRDefault="00917A0F">
      <w:pPr>
        <w:numPr>
          <w:ilvl w:val="0"/>
          <w:numId w:val="1"/>
        </w:numPr>
        <w:ind w:right="53" w:hanging="360"/>
      </w:pPr>
      <w:r>
        <w:t xml:space="preserve">recommend learner status changes to the Residency Program </w:t>
      </w:r>
      <w:r w:rsidR="00CB6513">
        <w:t>Committee.</w:t>
      </w:r>
      <w:r>
        <w:t xml:space="preserve"> </w:t>
      </w:r>
    </w:p>
    <w:p w14:paraId="4207806E" w14:textId="77777777" w:rsidR="00525EA7" w:rsidRDefault="00917A0F">
      <w:pPr>
        <w:numPr>
          <w:ilvl w:val="0"/>
          <w:numId w:val="1"/>
        </w:numPr>
        <w:ind w:right="53" w:hanging="360"/>
      </w:pPr>
      <w:r>
        <w:t xml:space="preserve">ensure there is a report back mechanism so that the resident is aware of their status following a review. </w:t>
      </w:r>
    </w:p>
    <w:p w14:paraId="34D6E1DD" w14:textId="77777777" w:rsidR="00525EA7" w:rsidRDefault="00917A0F">
      <w:pPr>
        <w:spacing w:after="294" w:line="259" w:lineRule="auto"/>
        <w:ind w:left="360" w:right="0" w:firstLine="0"/>
      </w:pPr>
      <w:r>
        <w:t xml:space="preserve"> </w:t>
      </w:r>
    </w:p>
    <w:p w14:paraId="32A3B653" w14:textId="77777777" w:rsidR="00525EA7" w:rsidRDefault="00917A0F">
      <w:pPr>
        <w:spacing w:after="0" w:line="259" w:lineRule="auto"/>
        <w:ind w:left="0" w:right="0" w:firstLine="0"/>
      </w:pPr>
      <w:r>
        <w:rPr>
          <w:color w:val="00767F"/>
          <w:sz w:val="28"/>
        </w:rPr>
        <w:t xml:space="preserve"> </w:t>
      </w:r>
    </w:p>
    <w:p w14:paraId="4D965C3A" w14:textId="77777777" w:rsidR="00525EA7" w:rsidRDefault="00917A0F">
      <w:pPr>
        <w:spacing w:after="689" w:line="259" w:lineRule="auto"/>
        <w:ind w:left="0" w:right="0" w:firstLine="0"/>
      </w:pPr>
      <w:r>
        <w:t xml:space="preserve"> </w:t>
      </w:r>
    </w:p>
    <w:p w14:paraId="1C5D0140" w14:textId="77777777" w:rsidR="00525EA7" w:rsidRDefault="00917A0F">
      <w:pPr>
        <w:tabs>
          <w:tab w:val="right" w:pos="9420"/>
        </w:tabs>
        <w:spacing w:after="0" w:line="259" w:lineRule="auto"/>
        <w:ind w:left="-715" w:right="0" w:firstLine="0"/>
      </w:pPr>
      <w:r>
        <w:rPr>
          <w:noProof/>
        </w:rPr>
        <w:drawing>
          <wp:inline distT="0" distB="0" distL="0" distR="0" wp14:anchorId="5F1BC4A4" wp14:editId="4753ABE8">
            <wp:extent cx="1956816" cy="862584"/>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956816" cy="862584"/>
                    </a:xfrm>
                    <a:prstGeom prst="rect">
                      <a:avLst/>
                    </a:prstGeom>
                  </pic:spPr>
                </pic:pic>
              </a:graphicData>
            </a:graphic>
          </wp:inline>
        </w:drawing>
      </w:r>
      <w:r>
        <w:rPr>
          <w:color w:val="003A5B"/>
          <w:sz w:val="18"/>
        </w:rPr>
        <w:tab/>
      </w:r>
      <w:proofErr w:type="gramStart"/>
      <w:r>
        <w:rPr>
          <w:color w:val="003A5B"/>
          <w:sz w:val="18"/>
        </w:rPr>
        <w:t xml:space="preserve">royalcollege.ca  </w:t>
      </w:r>
      <w:r>
        <w:rPr>
          <w:color w:val="00A3AD"/>
          <w:sz w:val="18"/>
        </w:rPr>
        <w:t>•</w:t>
      </w:r>
      <w:proofErr w:type="gramEnd"/>
      <w:r>
        <w:rPr>
          <w:color w:val="00A3AD"/>
          <w:sz w:val="18"/>
        </w:rPr>
        <w:t xml:space="preserve"> </w:t>
      </w:r>
      <w:r>
        <w:rPr>
          <w:color w:val="003A5B"/>
          <w:sz w:val="18"/>
        </w:rPr>
        <w:t xml:space="preserve"> collegeroyal.ca  </w:t>
      </w:r>
    </w:p>
    <w:p w14:paraId="3705C878" w14:textId="77777777" w:rsidR="00525EA7" w:rsidRDefault="00917A0F">
      <w:pPr>
        <w:spacing w:after="879" w:line="259" w:lineRule="auto"/>
        <w:ind w:left="0" w:right="0" w:firstLine="0"/>
      </w:pPr>
      <w:r>
        <w:rPr>
          <w:color w:val="7F7F7F"/>
          <w:sz w:val="18"/>
        </w:rPr>
        <w:lastRenderedPageBreak/>
        <w:t xml:space="preserve"> </w:t>
      </w:r>
    </w:p>
    <w:p w14:paraId="73E883B9" w14:textId="77777777" w:rsidR="00525EA7" w:rsidRDefault="00917A0F">
      <w:pPr>
        <w:pStyle w:val="Heading2"/>
        <w:ind w:left="-5"/>
      </w:pPr>
      <w:r>
        <w:t xml:space="preserve">Responsibility and Authority </w:t>
      </w:r>
    </w:p>
    <w:p w14:paraId="3A125222" w14:textId="77777777" w:rsidR="00525EA7" w:rsidRDefault="00917A0F">
      <w:pPr>
        <w:spacing w:after="229"/>
        <w:ind w:left="-5" w:right="53"/>
      </w:pPr>
      <w:r>
        <w:t>The Competence Committee reports to the Residency Program Committee via the Program Director or delegate and will be responsible for</w:t>
      </w:r>
      <w:r>
        <w:rPr>
          <w:vertAlign w:val="superscript"/>
        </w:rPr>
        <w:t>1</w:t>
      </w:r>
      <w:r>
        <w:t xml:space="preserve">: </w:t>
      </w:r>
    </w:p>
    <w:p w14:paraId="6BE5BAFD" w14:textId="77777777" w:rsidR="00525EA7" w:rsidRDefault="00917A0F">
      <w:pPr>
        <w:numPr>
          <w:ilvl w:val="0"/>
          <w:numId w:val="2"/>
        </w:numPr>
        <w:ind w:right="53" w:hanging="360"/>
      </w:pPr>
      <w:r>
        <w:t xml:space="preserve">Monitoring and making decisions on the progress of each resident in demonstrating achievement of the EPAs or independent milestones within each stage of a competency-based residency training program. </w:t>
      </w:r>
    </w:p>
    <w:p w14:paraId="6743778A" w14:textId="77777777" w:rsidR="00525EA7" w:rsidRPr="00383349" w:rsidRDefault="00917A0F">
      <w:pPr>
        <w:numPr>
          <w:ilvl w:val="0"/>
          <w:numId w:val="2"/>
        </w:numPr>
        <w:ind w:right="53" w:hanging="360"/>
        <w:rPr>
          <w:highlight w:val="yellow"/>
        </w:rPr>
      </w:pPr>
      <w:r w:rsidRPr="00383349">
        <w:rPr>
          <w:highlight w:val="yellow"/>
        </w:rPr>
        <w:t xml:space="preserve">Synthesizing the results from multiple assessments and observations to make recommendations to the RPC related to: </w:t>
      </w:r>
    </w:p>
    <w:p w14:paraId="224DDE3F" w14:textId="77777777" w:rsidR="00525EA7" w:rsidRPr="00383349" w:rsidRDefault="00917A0F">
      <w:pPr>
        <w:numPr>
          <w:ilvl w:val="1"/>
          <w:numId w:val="2"/>
        </w:numPr>
        <w:ind w:right="53" w:hanging="360"/>
        <w:rPr>
          <w:highlight w:val="yellow"/>
        </w:rPr>
      </w:pPr>
      <w:r w:rsidRPr="00383349">
        <w:rPr>
          <w:highlight w:val="yellow"/>
        </w:rPr>
        <w:t xml:space="preserve">The promotion of residents to the next stage of </w:t>
      </w:r>
      <w:proofErr w:type="gramStart"/>
      <w:r w:rsidRPr="00383349">
        <w:rPr>
          <w:highlight w:val="yellow"/>
        </w:rPr>
        <w:t>training;</w:t>
      </w:r>
      <w:proofErr w:type="gramEnd"/>
      <w:r w:rsidRPr="00383349">
        <w:rPr>
          <w:highlight w:val="yellow"/>
        </w:rPr>
        <w:t xml:space="preserve"> </w:t>
      </w:r>
    </w:p>
    <w:p w14:paraId="2053ED0E" w14:textId="77777777" w:rsidR="00525EA7" w:rsidRPr="00383349" w:rsidRDefault="00917A0F">
      <w:pPr>
        <w:numPr>
          <w:ilvl w:val="1"/>
          <w:numId w:val="2"/>
        </w:numPr>
        <w:ind w:right="53" w:hanging="360"/>
        <w:rPr>
          <w:highlight w:val="yellow"/>
        </w:rPr>
      </w:pPr>
      <w:r w:rsidRPr="00383349">
        <w:rPr>
          <w:highlight w:val="yellow"/>
        </w:rPr>
        <w:t xml:space="preserve">The review and approval of individual learning plans developed to address areas for </w:t>
      </w:r>
      <w:proofErr w:type="gramStart"/>
      <w:r w:rsidRPr="00383349">
        <w:rPr>
          <w:highlight w:val="yellow"/>
        </w:rPr>
        <w:t>improvement;</w:t>
      </w:r>
      <w:proofErr w:type="gramEnd"/>
      <w:r w:rsidRPr="00383349">
        <w:rPr>
          <w:highlight w:val="yellow"/>
        </w:rPr>
        <w:t xml:space="preserve"> </w:t>
      </w:r>
    </w:p>
    <w:p w14:paraId="4EBA0794" w14:textId="77777777" w:rsidR="00525EA7" w:rsidRPr="00383349" w:rsidRDefault="00917A0F">
      <w:pPr>
        <w:numPr>
          <w:ilvl w:val="1"/>
          <w:numId w:val="2"/>
        </w:numPr>
        <w:ind w:right="53" w:hanging="360"/>
        <w:rPr>
          <w:highlight w:val="yellow"/>
        </w:rPr>
      </w:pPr>
      <w:r w:rsidRPr="00383349">
        <w:rPr>
          <w:highlight w:val="yellow"/>
        </w:rPr>
        <w:t xml:space="preserve">Determining readiness to challenge the Royal College </w:t>
      </w:r>
      <w:proofErr w:type="gramStart"/>
      <w:r w:rsidRPr="00383349">
        <w:rPr>
          <w:highlight w:val="yellow"/>
        </w:rPr>
        <w:t>examinations;</w:t>
      </w:r>
      <w:proofErr w:type="gramEnd"/>
      <w:r w:rsidRPr="00383349">
        <w:rPr>
          <w:highlight w:val="yellow"/>
        </w:rPr>
        <w:t xml:space="preserve"> </w:t>
      </w:r>
    </w:p>
    <w:p w14:paraId="51C19C45" w14:textId="77777777" w:rsidR="00525EA7" w:rsidRPr="00383349" w:rsidRDefault="00917A0F">
      <w:pPr>
        <w:numPr>
          <w:ilvl w:val="1"/>
          <w:numId w:val="2"/>
        </w:numPr>
        <w:ind w:right="53" w:hanging="360"/>
        <w:rPr>
          <w:highlight w:val="yellow"/>
        </w:rPr>
      </w:pPr>
      <w:r w:rsidRPr="00383349">
        <w:rPr>
          <w:highlight w:val="yellow"/>
        </w:rPr>
        <w:t xml:space="preserve">Determining readiness to enter independent practice on completion of the transition to practice </w:t>
      </w:r>
      <w:proofErr w:type="gramStart"/>
      <w:r w:rsidRPr="00383349">
        <w:rPr>
          <w:highlight w:val="yellow"/>
        </w:rPr>
        <w:t>stage;</w:t>
      </w:r>
      <w:proofErr w:type="gramEnd"/>
      <w:r w:rsidRPr="00383349">
        <w:rPr>
          <w:highlight w:val="yellow"/>
        </w:rPr>
        <w:t xml:space="preserve"> </w:t>
      </w:r>
    </w:p>
    <w:p w14:paraId="0B94E54D" w14:textId="77777777" w:rsidR="00525EA7" w:rsidRPr="00383349" w:rsidRDefault="00917A0F">
      <w:pPr>
        <w:numPr>
          <w:ilvl w:val="1"/>
          <w:numId w:val="2"/>
        </w:numPr>
        <w:ind w:right="53" w:hanging="360"/>
        <w:rPr>
          <w:highlight w:val="yellow"/>
        </w:rPr>
      </w:pPr>
      <w:r w:rsidRPr="00383349">
        <w:rPr>
          <w:highlight w:val="yellow"/>
        </w:rPr>
        <w:t xml:space="preserve">Determining that a trainee is failing to progress within the </w:t>
      </w:r>
      <w:proofErr w:type="gramStart"/>
      <w:r w:rsidRPr="00383349">
        <w:rPr>
          <w:highlight w:val="yellow"/>
        </w:rPr>
        <w:t>program;</w:t>
      </w:r>
      <w:proofErr w:type="gramEnd"/>
      <w:r w:rsidRPr="00383349">
        <w:rPr>
          <w:highlight w:val="yellow"/>
        </w:rPr>
        <w:t xml:space="preserve"> </w:t>
      </w:r>
    </w:p>
    <w:p w14:paraId="6A2D7377" w14:textId="77777777" w:rsidR="00525EA7" w:rsidRPr="00383349" w:rsidRDefault="00917A0F">
      <w:pPr>
        <w:numPr>
          <w:ilvl w:val="1"/>
          <w:numId w:val="2"/>
        </w:numPr>
        <w:ind w:right="53" w:hanging="360"/>
        <w:rPr>
          <w:highlight w:val="yellow"/>
        </w:rPr>
      </w:pPr>
      <w:r w:rsidRPr="00383349">
        <w:rPr>
          <w:highlight w:val="yellow"/>
        </w:rPr>
        <w:t xml:space="preserve">Monitoring the outcome of any learning or improvement plan established for an individual resident. </w:t>
      </w:r>
    </w:p>
    <w:p w14:paraId="6CB39AC8" w14:textId="77777777" w:rsidR="00525EA7" w:rsidRPr="00383349" w:rsidRDefault="00917A0F">
      <w:pPr>
        <w:numPr>
          <w:ilvl w:val="0"/>
          <w:numId w:val="2"/>
        </w:numPr>
        <w:spacing w:after="269"/>
        <w:ind w:right="53" w:hanging="360"/>
        <w:rPr>
          <w:highlight w:val="yellow"/>
        </w:rPr>
      </w:pPr>
      <w:r w:rsidRPr="00383349">
        <w:rPr>
          <w:noProof/>
          <w:highlight w:val="yellow"/>
        </w:rPr>
        <w:drawing>
          <wp:anchor distT="0" distB="0" distL="114300" distR="114300" simplePos="0" relativeHeight="251659264" behindDoc="0" locked="0" layoutInCell="1" allowOverlap="0" wp14:anchorId="6FF6C56F" wp14:editId="69013194">
            <wp:simplePos x="0" y="0"/>
            <wp:positionH relativeFrom="page">
              <wp:posOffset>7226808</wp:posOffset>
            </wp:positionH>
            <wp:positionV relativeFrom="page">
              <wp:posOffset>164592</wp:posOffset>
            </wp:positionV>
            <wp:extent cx="356616" cy="655320"/>
            <wp:effectExtent l="0" t="0" r="0" b="0"/>
            <wp:wrapTopAndBottom/>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9"/>
                    <a:stretch>
                      <a:fillRect/>
                    </a:stretch>
                  </pic:blipFill>
                  <pic:spPr>
                    <a:xfrm>
                      <a:off x="0" y="0"/>
                      <a:ext cx="356616" cy="655320"/>
                    </a:xfrm>
                    <a:prstGeom prst="rect">
                      <a:avLst/>
                    </a:prstGeom>
                  </pic:spPr>
                </pic:pic>
              </a:graphicData>
            </a:graphic>
          </wp:anchor>
        </w:drawing>
      </w:r>
      <w:r w:rsidRPr="00383349">
        <w:rPr>
          <w:highlight w:val="yellow"/>
        </w:rPr>
        <w:t xml:space="preserve">Maintaining confidentiality and promoting trust by sharing information only with individuals directly involved in the development or implementation of learning or improvement plans. </w:t>
      </w:r>
    </w:p>
    <w:p w14:paraId="4145E2D7" w14:textId="77777777" w:rsidR="00525EA7" w:rsidRDefault="00917A0F">
      <w:pPr>
        <w:tabs>
          <w:tab w:val="right" w:pos="9420"/>
        </w:tabs>
        <w:spacing w:after="129" w:line="259" w:lineRule="auto"/>
        <w:ind w:left="-1" w:right="0" w:firstLine="0"/>
      </w:pPr>
      <w:r>
        <w:rPr>
          <w:noProof/>
          <w:sz w:val="22"/>
        </w:rPr>
        <mc:AlternateContent>
          <mc:Choice Requires="wpg">
            <w:drawing>
              <wp:inline distT="0" distB="0" distL="0" distR="0" wp14:anchorId="6DD7D726" wp14:editId="0C65CB96">
                <wp:extent cx="1188720" cy="762"/>
                <wp:effectExtent l="0" t="0" r="0" b="0"/>
                <wp:docPr id="1934" name="Group 1934"/>
                <wp:cNvGraphicFramePr/>
                <a:graphic xmlns:a="http://schemas.openxmlformats.org/drawingml/2006/main">
                  <a:graphicData uri="http://schemas.microsoft.com/office/word/2010/wordprocessingGroup">
                    <wpg:wgp>
                      <wpg:cNvGrpSpPr/>
                      <wpg:grpSpPr>
                        <a:xfrm>
                          <a:off x="0" y="0"/>
                          <a:ext cx="1188720" cy="762"/>
                          <a:chOff x="0" y="0"/>
                          <a:chExt cx="1188720" cy="762"/>
                        </a:xfrm>
                      </wpg:grpSpPr>
                      <wps:wsp>
                        <wps:cNvPr id="2331" name="Shape 2331"/>
                        <wps:cNvSpPr/>
                        <wps:spPr>
                          <a:xfrm>
                            <a:off x="0" y="0"/>
                            <a:ext cx="1188720" cy="9144"/>
                          </a:xfrm>
                          <a:custGeom>
                            <a:avLst/>
                            <a:gdLst/>
                            <a:ahLst/>
                            <a:cxnLst/>
                            <a:rect l="0" t="0" r="0" b="0"/>
                            <a:pathLst>
                              <a:path w="1188720" h="9144">
                                <a:moveTo>
                                  <a:pt x="0" y="0"/>
                                </a:moveTo>
                                <a:lnTo>
                                  <a:pt x="1188720" y="0"/>
                                </a:lnTo>
                                <a:lnTo>
                                  <a:pt x="1188720" y="9144"/>
                                </a:lnTo>
                                <a:lnTo>
                                  <a:pt x="0" y="9144"/>
                                </a:lnTo>
                                <a:lnTo>
                                  <a:pt x="0" y="0"/>
                                </a:lnTo>
                              </a:path>
                            </a:pathLst>
                          </a:custGeom>
                          <a:ln w="0" cap="flat">
                            <a:miter lim="100000"/>
                          </a:ln>
                        </wps:spPr>
                        <wps:style>
                          <a:lnRef idx="0">
                            <a:srgbClr val="000000">
                              <a:alpha val="0"/>
                            </a:srgbClr>
                          </a:lnRef>
                          <a:fillRef idx="1">
                            <a:srgbClr val="333333"/>
                          </a:fillRef>
                          <a:effectRef idx="0">
                            <a:scrgbClr r="0" g="0" b="0"/>
                          </a:effectRef>
                          <a:fontRef idx="none"/>
                        </wps:style>
                        <wps:bodyPr/>
                      </wps:wsp>
                    </wpg:wgp>
                  </a:graphicData>
                </a:graphic>
              </wp:inline>
            </w:drawing>
          </mc:Choice>
          <mc:Fallback xmlns:a="http://schemas.openxmlformats.org/drawingml/2006/main">
            <w:pict>
              <v:group id="Group 1934" style="width:93.6pt;height:0.0599976pt;mso-position-horizontal-relative:char;mso-position-vertical-relative:line" coordsize="11887,7">
                <v:shape id="Shape 2332" style="position:absolute;width:11887;height:91;left:0;top:0;" coordsize="1188720,9144" path="m0,0l1188720,0l1188720,9144l0,9144l0,0">
                  <v:stroke weight="0pt" endcap="flat" joinstyle="miter" miterlimit="1" on="false" color="#000000" opacity="0"/>
                  <v:fill on="true" color="#333333"/>
                </v:shape>
              </v:group>
            </w:pict>
          </mc:Fallback>
        </mc:AlternateContent>
      </w:r>
      <w:r>
        <w:tab/>
        <w:t xml:space="preserve"> </w:t>
      </w:r>
    </w:p>
    <w:p w14:paraId="311C396F" w14:textId="77777777" w:rsidR="00525EA7" w:rsidRDefault="00917A0F">
      <w:pPr>
        <w:spacing w:after="284"/>
        <w:ind w:left="-5" w:right="53"/>
      </w:pPr>
      <w:r w:rsidRPr="00D56A76">
        <w:rPr>
          <w:highlight w:val="yellow"/>
          <w:vertAlign w:val="superscript"/>
        </w:rPr>
        <w:t>1</w:t>
      </w:r>
      <w:r w:rsidRPr="00D56A76">
        <w:rPr>
          <w:highlight w:val="yellow"/>
        </w:rPr>
        <w:t>A residency program committee may delegate authority for promotion decisions to its competence committee, however the residency program committee must be aware of the competence committee’s decisions and remains accountable for them.</w:t>
      </w:r>
      <w:r>
        <w:t xml:space="preserve"> </w:t>
      </w:r>
    </w:p>
    <w:p w14:paraId="22D41D4F" w14:textId="77777777" w:rsidR="00525EA7" w:rsidRDefault="00917A0F">
      <w:pPr>
        <w:pStyle w:val="Heading2"/>
        <w:ind w:left="-5"/>
      </w:pPr>
      <w:r>
        <w:t xml:space="preserve">Composition </w:t>
      </w:r>
    </w:p>
    <w:p w14:paraId="3E752C34" w14:textId="77777777" w:rsidR="00525EA7" w:rsidRDefault="00917A0F">
      <w:pPr>
        <w:spacing w:after="193"/>
        <w:ind w:left="-5" w:right="53"/>
      </w:pPr>
      <w:r>
        <w:t xml:space="preserve">The Competence Committee will ordinarily be chaired by a member of the clinical teaching faculty affiliated with a Royal College accredited residency program. Typically the Competence Committee will not be chaired by the Program Director. However, the Program Director should serve as a </w:t>
      </w:r>
      <w:proofErr w:type="gramStart"/>
      <w:r>
        <w:t>Committee</w:t>
      </w:r>
      <w:proofErr w:type="gramEnd"/>
      <w:r>
        <w:t xml:space="preserve"> member. The size of the Committee should reflect the number of residents in the program with a minimum size of three members for smaller programs. Members of the Committee are normally from either the Residency Training/Program Committee or clinical supervisors associated with the program. </w:t>
      </w:r>
    </w:p>
    <w:p w14:paraId="302D8BD3" w14:textId="77777777" w:rsidR="00525EA7" w:rsidRDefault="00917A0F">
      <w:pPr>
        <w:spacing w:after="290"/>
        <w:ind w:left="-5" w:right="53"/>
      </w:pPr>
      <w:r>
        <w:rPr>
          <w:noProof/>
          <w:sz w:val="22"/>
        </w:rPr>
        <mc:AlternateContent>
          <mc:Choice Requires="wpg">
            <w:drawing>
              <wp:anchor distT="0" distB="0" distL="114300" distR="114300" simplePos="0" relativeHeight="251660288" behindDoc="0" locked="0" layoutInCell="1" allowOverlap="1" wp14:anchorId="383FF9DB" wp14:editId="09612186">
                <wp:simplePos x="0" y="0"/>
                <wp:positionH relativeFrom="page">
                  <wp:posOffset>3745230</wp:posOffset>
                </wp:positionH>
                <wp:positionV relativeFrom="page">
                  <wp:posOffset>9672828</wp:posOffset>
                </wp:positionV>
                <wp:extent cx="266700" cy="48006"/>
                <wp:effectExtent l="0" t="0" r="0" b="0"/>
                <wp:wrapSquare wrapText="bothSides"/>
                <wp:docPr id="1933" name="Group 1933"/>
                <wp:cNvGraphicFramePr/>
                <a:graphic xmlns:a="http://schemas.openxmlformats.org/drawingml/2006/main">
                  <a:graphicData uri="http://schemas.microsoft.com/office/word/2010/wordprocessingGroup">
                    <wpg:wgp>
                      <wpg:cNvGrpSpPr/>
                      <wpg:grpSpPr>
                        <a:xfrm>
                          <a:off x="0" y="0"/>
                          <a:ext cx="266700" cy="48006"/>
                          <a:chOff x="0" y="0"/>
                          <a:chExt cx="266700" cy="48006"/>
                        </a:xfrm>
                      </wpg:grpSpPr>
                      <wps:wsp>
                        <wps:cNvPr id="2333" name="Shape 2333"/>
                        <wps:cNvSpPr/>
                        <wps:spPr>
                          <a:xfrm>
                            <a:off x="0" y="0"/>
                            <a:ext cx="266700" cy="48006"/>
                          </a:xfrm>
                          <a:custGeom>
                            <a:avLst/>
                            <a:gdLst/>
                            <a:ahLst/>
                            <a:cxnLst/>
                            <a:rect l="0" t="0" r="0" b="0"/>
                            <a:pathLst>
                              <a:path w="266700" h="48006">
                                <a:moveTo>
                                  <a:pt x="0" y="0"/>
                                </a:moveTo>
                                <a:lnTo>
                                  <a:pt x="266700" y="0"/>
                                </a:lnTo>
                                <a:lnTo>
                                  <a:pt x="266700" y="48006"/>
                                </a:lnTo>
                                <a:lnTo>
                                  <a:pt x="0" y="48006"/>
                                </a:lnTo>
                                <a:lnTo>
                                  <a:pt x="0" y="0"/>
                                </a:lnTo>
                              </a:path>
                            </a:pathLst>
                          </a:custGeom>
                          <a:ln w="0" cap="flat">
                            <a:miter lim="100000"/>
                          </a:ln>
                        </wps:spPr>
                        <wps:style>
                          <a:lnRef idx="0">
                            <a:srgbClr val="000000">
                              <a:alpha val="0"/>
                            </a:srgbClr>
                          </a:lnRef>
                          <a:fillRef idx="1">
                            <a:srgbClr val="00A3AD"/>
                          </a:fillRef>
                          <a:effectRef idx="0">
                            <a:scrgbClr r="0" g="0" b="0"/>
                          </a:effectRef>
                          <a:fontRef idx="none"/>
                        </wps:style>
                        <wps:bodyPr/>
                      </wps:wsp>
                    </wpg:wgp>
                  </a:graphicData>
                </a:graphic>
              </wp:anchor>
            </w:drawing>
          </mc:Choice>
          <mc:Fallback xmlns:a="http://schemas.openxmlformats.org/drawingml/2006/main">
            <w:pict>
              <v:group id="Group 1933" style="width:21pt;height:3.77997pt;position:absolute;mso-position-horizontal-relative:page;mso-position-horizontal:absolute;margin-left:294.9pt;mso-position-vertical-relative:page;margin-top:761.64pt;" coordsize="2667,480">
                <v:shape id="Shape 2334" style="position:absolute;width:2667;height:480;left:0;top:0;" coordsize="266700,48006" path="m0,0l266700,0l266700,48006l0,48006l0,0">
                  <v:stroke weight="0pt" endcap="flat" joinstyle="miter" miterlimit="1" on="false" color="#000000" opacity="0"/>
                  <v:fill on="true" color="#00a3ad"/>
                </v:shape>
                <w10:wrap type="square"/>
              </v:group>
            </w:pict>
          </mc:Fallback>
        </mc:AlternateContent>
      </w:r>
      <w:r>
        <w:t>Note: programs have the discretion to include additional members</w:t>
      </w:r>
      <w:r>
        <w:rPr>
          <w:vertAlign w:val="superscript"/>
        </w:rPr>
        <w:footnoteReference w:id="1"/>
      </w:r>
      <w:r>
        <w:t xml:space="preserve">. Optional members might include an individual(s) who is ‘external’ to the teaching faculty. This might be faculty or a program director from other </w:t>
      </w:r>
      <w:r>
        <w:lastRenderedPageBreak/>
        <w:t xml:space="preserve">residency programs at the university or from the same discipline at another university, other healthcare professionals, or a public member. </w:t>
      </w:r>
    </w:p>
    <w:p w14:paraId="5E59FBB0" w14:textId="77777777" w:rsidR="00525EA7" w:rsidRDefault="00917A0F">
      <w:pPr>
        <w:tabs>
          <w:tab w:val="right" w:pos="9420"/>
        </w:tabs>
        <w:spacing w:after="0" w:line="259" w:lineRule="auto"/>
        <w:ind w:left="-1" w:right="0" w:firstLine="0"/>
      </w:pPr>
      <w:r>
        <w:rPr>
          <w:noProof/>
          <w:sz w:val="22"/>
        </w:rPr>
        <mc:AlternateContent>
          <mc:Choice Requires="wpg">
            <w:drawing>
              <wp:inline distT="0" distB="0" distL="0" distR="0" wp14:anchorId="6E4FD8C9" wp14:editId="083C7F53">
                <wp:extent cx="1188720" cy="19050"/>
                <wp:effectExtent l="0" t="0" r="0" b="0"/>
                <wp:docPr id="1935" name="Group 1935"/>
                <wp:cNvGraphicFramePr/>
                <a:graphic xmlns:a="http://schemas.openxmlformats.org/drawingml/2006/main">
                  <a:graphicData uri="http://schemas.microsoft.com/office/word/2010/wordprocessingGroup">
                    <wpg:wgp>
                      <wpg:cNvGrpSpPr/>
                      <wpg:grpSpPr>
                        <a:xfrm>
                          <a:off x="0" y="0"/>
                          <a:ext cx="1188720" cy="19050"/>
                          <a:chOff x="0" y="0"/>
                          <a:chExt cx="1188720" cy="19050"/>
                        </a:xfrm>
                      </wpg:grpSpPr>
                      <wps:wsp>
                        <wps:cNvPr id="2335" name="Shape 2335"/>
                        <wps:cNvSpPr/>
                        <wps:spPr>
                          <a:xfrm>
                            <a:off x="0" y="0"/>
                            <a:ext cx="1188720" cy="19050"/>
                          </a:xfrm>
                          <a:custGeom>
                            <a:avLst/>
                            <a:gdLst/>
                            <a:ahLst/>
                            <a:cxnLst/>
                            <a:rect l="0" t="0" r="0" b="0"/>
                            <a:pathLst>
                              <a:path w="1188720" h="19050">
                                <a:moveTo>
                                  <a:pt x="0" y="0"/>
                                </a:moveTo>
                                <a:lnTo>
                                  <a:pt x="1188720" y="0"/>
                                </a:lnTo>
                                <a:lnTo>
                                  <a:pt x="1188720" y="19050"/>
                                </a:lnTo>
                                <a:lnTo>
                                  <a:pt x="0" y="19050"/>
                                </a:lnTo>
                                <a:lnTo>
                                  <a:pt x="0" y="0"/>
                                </a:lnTo>
                              </a:path>
                            </a:pathLst>
                          </a:custGeom>
                          <a:ln w="0" cap="flat">
                            <a:miter lim="100000"/>
                          </a:ln>
                        </wps:spPr>
                        <wps:style>
                          <a:lnRef idx="0">
                            <a:srgbClr val="000000">
                              <a:alpha val="0"/>
                            </a:srgbClr>
                          </a:lnRef>
                          <a:fillRef idx="1">
                            <a:srgbClr val="333333"/>
                          </a:fillRef>
                          <a:effectRef idx="0">
                            <a:scrgbClr r="0" g="0" b="0"/>
                          </a:effectRef>
                          <a:fontRef idx="none"/>
                        </wps:style>
                        <wps:bodyPr/>
                      </wps:wsp>
                    </wpg:wgp>
                  </a:graphicData>
                </a:graphic>
              </wp:inline>
            </w:drawing>
          </mc:Choice>
          <mc:Fallback xmlns:a="http://schemas.openxmlformats.org/drawingml/2006/main">
            <w:pict>
              <v:group id="Group 1935" style="width:93.6pt;height:1.5pt;mso-position-horizontal-relative:char;mso-position-vertical-relative:line" coordsize="11887,190">
                <v:shape id="Shape 2336" style="position:absolute;width:11887;height:190;left:0;top:0;" coordsize="1188720,19050" path="m0,0l1188720,0l1188720,19050l0,19050l0,0">
                  <v:stroke weight="0pt" endcap="flat" joinstyle="miter" miterlimit="1" on="false" color="#000000" opacity="0"/>
                  <v:fill on="true" color="#333333"/>
                </v:shape>
              </v:group>
            </w:pict>
          </mc:Fallback>
        </mc:AlternateContent>
      </w:r>
      <w:r>
        <w:rPr>
          <w:rFonts w:ascii="Times New Roman" w:eastAsia="Times New Roman" w:hAnsi="Times New Roman" w:cs="Times New Roman"/>
          <w:sz w:val="24"/>
        </w:rPr>
        <w:tab/>
        <w:t xml:space="preserve"> </w:t>
      </w:r>
    </w:p>
    <w:p w14:paraId="3D196734" w14:textId="77777777" w:rsidR="00525EA7" w:rsidRDefault="00917A0F">
      <w:pPr>
        <w:spacing w:after="879" w:line="259" w:lineRule="auto"/>
        <w:ind w:left="0" w:right="0" w:firstLine="0"/>
      </w:pPr>
      <w:r>
        <w:rPr>
          <w:color w:val="7F7F7F"/>
          <w:sz w:val="18"/>
        </w:rPr>
        <w:t xml:space="preserve"> </w:t>
      </w:r>
    </w:p>
    <w:p w14:paraId="12990EAF" w14:textId="77777777" w:rsidR="00525EA7" w:rsidRDefault="00917A0F">
      <w:pPr>
        <w:pStyle w:val="Heading2"/>
        <w:ind w:left="-5"/>
      </w:pPr>
      <w:r>
        <w:t xml:space="preserve">Key Competencies and Characteristics </w:t>
      </w:r>
    </w:p>
    <w:p w14:paraId="14D50C6B" w14:textId="77777777" w:rsidR="00525EA7" w:rsidRDefault="00917A0F">
      <w:pPr>
        <w:spacing w:after="286"/>
        <w:ind w:left="-5" w:right="53"/>
      </w:pPr>
      <w:r w:rsidRPr="00D56A76">
        <w:rPr>
          <w:highlight w:val="yellow"/>
        </w:rPr>
        <w:t xml:space="preserve">The Competence Committee will be composed of individuals with interest, experience and expertise in assessment and medical education relevant to the discipline. The Competence Committee members must be able to interpret multiple sources of qualitative and quantitative observation data to achieve consensus, where possible, </w:t>
      </w:r>
      <w:proofErr w:type="gramStart"/>
      <w:r w:rsidRPr="00D56A76">
        <w:rPr>
          <w:highlight w:val="yellow"/>
        </w:rPr>
        <w:t>in order to</w:t>
      </w:r>
      <w:proofErr w:type="gramEnd"/>
      <w:r w:rsidRPr="00D56A76">
        <w:rPr>
          <w:highlight w:val="yellow"/>
        </w:rPr>
        <w:t xml:space="preserve"> make judgments on outcomes.</w:t>
      </w:r>
      <w:r>
        <w:t xml:space="preserve"> </w:t>
      </w:r>
    </w:p>
    <w:p w14:paraId="4C4A2B3A" w14:textId="77777777" w:rsidR="00525EA7" w:rsidRDefault="00917A0F">
      <w:pPr>
        <w:pStyle w:val="Heading2"/>
        <w:ind w:left="-5"/>
      </w:pPr>
      <w:r>
        <w:t xml:space="preserve">Reporting </w:t>
      </w:r>
    </w:p>
    <w:p w14:paraId="54693F6A" w14:textId="77777777" w:rsidR="00525EA7" w:rsidRDefault="00917A0F">
      <w:pPr>
        <w:spacing w:after="286"/>
        <w:ind w:left="-5" w:right="53"/>
      </w:pPr>
      <w:r w:rsidRPr="00383349">
        <w:rPr>
          <w:highlight w:val="yellow"/>
        </w:rPr>
        <w:t>The Competence Committee will report outcomes of discussions and make recommendations to the Residency Program Committee for ratification.</w:t>
      </w:r>
      <w:r>
        <w:t xml:space="preserve"> </w:t>
      </w:r>
    </w:p>
    <w:p w14:paraId="64B29C33" w14:textId="77777777" w:rsidR="00525EA7" w:rsidRDefault="00917A0F">
      <w:pPr>
        <w:pStyle w:val="Heading2"/>
        <w:ind w:left="-5"/>
      </w:pPr>
      <w:r>
        <w:t xml:space="preserve">Term of Office </w:t>
      </w:r>
    </w:p>
    <w:p w14:paraId="331F3070" w14:textId="77777777" w:rsidR="00525EA7" w:rsidRDefault="00917A0F">
      <w:pPr>
        <w:spacing w:after="287"/>
        <w:ind w:left="-5" w:right="53"/>
      </w:pPr>
      <w:r>
        <w:t xml:space="preserve">The selection of members of the Competence Committee will be based on established University policies. Ordinarily, members should be appointed by the Program Director to serve a defined term with an appropriate process for renewals. </w:t>
      </w:r>
    </w:p>
    <w:p w14:paraId="4E91FF58" w14:textId="77777777" w:rsidR="00525EA7" w:rsidRDefault="00917A0F">
      <w:pPr>
        <w:pStyle w:val="Heading2"/>
        <w:ind w:left="-5"/>
      </w:pPr>
      <w:r>
        <w:t xml:space="preserve">Meetings </w:t>
      </w:r>
    </w:p>
    <w:p w14:paraId="51FDB7D2" w14:textId="77777777" w:rsidR="00525EA7" w:rsidRDefault="00917A0F">
      <w:pPr>
        <w:spacing w:after="291"/>
        <w:ind w:left="-5" w:right="53"/>
      </w:pPr>
      <w:r w:rsidRPr="00D56A76">
        <w:rPr>
          <w:highlight w:val="yellow"/>
        </w:rPr>
        <w:t>The frequency of Competence Committee meetings must be sufficient for the committee to fulfill its mandate (at least twice a year</w:t>
      </w:r>
      <w:proofErr w:type="gramStart"/>
      <w:r w:rsidRPr="00D56A76">
        <w:rPr>
          <w:highlight w:val="yellow"/>
        </w:rPr>
        <w:t>) ,</w:t>
      </w:r>
      <w:proofErr w:type="gramEnd"/>
      <w:r w:rsidRPr="00D56A76">
        <w:rPr>
          <w:highlight w:val="yellow"/>
        </w:rPr>
        <w:t xml:space="preserve"> though more frequent meetings may be required in many programs particularly for larger programs and to support the transition between stages.</w:t>
      </w:r>
      <w:r>
        <w:t xml:space="preserve"> This may be reflected in the Terms of Reference of the Committee or be called on an ad hoc basis by the Chair. Meetings may be either virtual, face to face or some combination of the two. </w:t>
      </w:r>
    </w:p>
    <w:p w14:paraId="0D81DFDD" w14:textId="77777777" w:rsidR="00525EA7" w:rsidRDefault="00917A0F">
      <w:pPr>
        <w:tabs>
          <w:tab w:val="right" w:pos="9420"/>
        </w:tabs>
        <w:spacing w:after="0" w:line="259" w:lineRule="auto"/>
        <w:ind w:left="-1" w:right="0" w:firstLine="0"/>
      </w:pPr>
      <w:r>
        <w:rPr>
          <w:noProof/>
          <w:sz w:val="22"/>
        </w:rPr>
        <mc:AlternateContent>
          <mc:Choice Requires="wpg">
            <w:drawing>
              <wp:inline distT="0" distB="0" distL="0" distR="0" wp14:anchorId="13ED40A3" wp14:editId="0FD56A82">
                <wp:extent cx="1188720" cy="19050"/>
                <wp:effectExtent l="0" t="0" r="0" b="0"/>
                <wp:docPr id="1680" name="Group 1680"/>
                <wp:cNvGraphicFramePr/>
                <a:graphic xmlns:a="http://schemas.openxmlformats.org/drawingml/2006/main">
                  <a:graphicData uri="http://schemas.microsoft.com/office/word/2010/wordprocessingGroup">
                    <wpg:wgp>
                      <wpg:cNvGrpSpPr/>
                      <wpg:grpSpPr>
                        <a:xfrm>
                          <a:off x="0" y="0"/>
                          <a:ext cx="1188720" cy="19050"/>
                          <a:chOff x="0" y="0"/>
                          <a:chExt cx="1188720" cy="19050"/>
                        </a:xfrm>
                      </wpg:grpSpPr>
                      <wps:wsp>
                        <wps:cNvPr id="2337" name="Shape 2337"/>
                        <wps:cNvSpPr/>
                        <wps:spPr>
                          <a:xfrm>
                            <a:off x="0" y="0"/>
                            <a:ext cx="1188720" cy="19050"/>
                          </a:xfrm>
                          <a:custGeom>
                            <a:avLst/>
                            <a:gdLst/>
                            <a:ahLst/>
                            <a:cxnLst/>
                            <a:rect l="0" t="0" r="0" b="0"/>
                            <a:pathLst>
                              <a:path w="1188720" h="19050">
                                <a:moveTo>
                                  <a:pt x="0" y="0"/>
                                </a:moveTo>
                                <a:lnTo>
                                  <a:pt x="1188720" y="0"/>
                                </a:lnTo>
                                <a:lnTo>
                                  <a:pt x="1188720" y="19050"/>
                                </a:lnTo>
                                <a:lnTo>
                                  <a:pt x="0" y="19050"/>
                                </a:lnTo>
                                <a:lnTo>
                                  <a:pt x="0" y="0"/>
                                </a:lnTo>
                              </a:path>
                            </a:pathLst>
                          </a:custGeom>
                          <a:ln w="0" cap="flat">
                            <a:miter lim="100000"/>
                          </a:ln>
                        </wps:spPr>
                        <wps:style>
                          <a:lnRef idx="0">
                            <a:srgbClr val="000000">
                              <a:alpha val="0"/>
                            </a:srgbClr>
                          </a:lnRef>
                          <a:fillRef idx="1">
                            <a:srgbClr val="333333"/>
                          </a:fillRef>
                          <a:effectRef idx="0">
                            <a:scrgbClr r="0" g="0" b="0"/>
                          </a:effectRef>
                          <a:fontRef idx="none"/>
                        </wps:style>
                        <wps:bodyPr/>
                      </wps:wsp>
                    </wpg:wgp>
                  </a:graphicData>
                </a:graphic>
              </wp:inline>
            </w:drawing>
          </mc:Choice>
          <mc:Fallback xmlns:a="http://schemas.openxmlformats.org/drawingml/2006/main">
            <w:pict>
              <v:group id="Group 1680" style="width:93.6pt;height:1.5pt;mso-position-horizontal-relative:char;mso-position-vertical-relative:line" coordsize="11887,190">
                <v:shape id="Shape 2338" style="position:absolute;width:11887;height:190;left:0;top:0;" coordsize="1188720,19050" path="m0,0l1188720,0l1188720,19050l0,19050l0,0">
                  <v:stroke weight="0pt" endcap="flat" joinstyle="miter" miterlimit="1" on="false" color="#000000" opacity="0"/>
                  <v:fill on="true" color="#333333"/>
                </v:shape>
              </v:group>
            </w:pict>
          </mc:Fallback>
        </mc:AlternateContent>
      </w:r>
      <w:r>
        <w:rPr>
          <w:rFonts w:ascii="Times New Roman" w:eastAsia="Times New Roman" w:hAnsi="Times New Roman" w:cs="Times New Roman"/>
          <w:sz w:val="24"/>
        </w:rPr>
        <w:tab/>
        <w:t xml:space="preserve"> </w:t>
      </w:r>
    </w:p>
    <w:p w14:paraId="58B157EF" w14:textId="56BC6E5A" w:rsidR="00525EA7" w:rsidRDefault="00917A0F" w:rsidP="00917A0F">
      <w:pPr>
        <w:spacing w:after="209" w:line="259" w:lineRule="auto"/>
        <w:ind w:left="0" w:right="0" w:firstLine="0"/>
      </w:pPr>
      <w:r>
        <w:rPr>
          <w:noProof/>
        </w:rPr>
        <w:drawing>
          <wp:anchor distT="0" distB="0" distL="114300" distR="114300" simplePos="0" relativeHeight="251661312" behindDoc="0" locked="0" layoutInCell="1" allowOverlap="0" wp14:anchorId="0963C709" wp14:editId="53D75486">
            <wp:simplePos x="0" y="0"/>
            <wp:positionH relativeFrom="page">
              <wp:posOffset>7226808</wp:posOffset>
            </wp:positionH>
            <wp:positionV relativeFrom="page">
              <wp:posOffset>164592</wp:posOffset>
            </wp:positionV>
            <wp:extent cx="356616" cy="655320"/>
            <wp:effectExtent l="0" t="0" r="0" b="0"/>
            <wp:wrapTopAndBottom/>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9"/>
                    <a:stretch>
                      <a:fillRect/>
                    </a:stretch>
                  </pic:blipFill>
                  <pic:spPr>
                    <a:xfrm>
                      <a:off x="0" y="0"/>
                      <a:ext cx="356616" cy="655320"/>
                    </a:xfrm>
                    <a:prstGeom prst="rect">
                      <a:avLst/>
                    </a:prstGeom>
                  </pic:spPr>
                </pic:pic>
              </a:graphicData>
            </a:graphic>
          </wp:anchor>
        </w:drawing>
      </w:r>
      <w:r>
        <w:t xml:space="preserve"> </w:t>
      </w:r>
    </w:p>
    <w:p w14:paraId="26875FE4" w14:textId="77777777" w:rsidR="00525EA7" w:rsidRDefault="00917A0F">
      <w:pPr>
        <w:tabs>
          <w:tab w:val="center" w:pos="4668"/>
        </w:tabs>
        <w:spacing w:after="0" w:line="259" w:lineRule="auto"/>
        <w:ind w:left="0" w:right="0" w:firstLine="0"/>
      </w:pPr>
      <w:r>
        <w:t xml:space="preserve"> </w:t>
      </w:r>
      <w:r>
        <w:tab/>
      </w:r>
      <w:r>
        <w:rPr>
          <w:noProof/>
          <w:sz w:val="22"/>
        </w:rPr>
        <mc:AlternateContent>
          <mc:Choice Requires="wpg">
            <w:drawing>
              <wp:inline distT="0" distB="0" distL="0" distR="0" wp14:anchorId="06D271A0" wp14:editId="525DAB8A">
                <wp:extent cx="266700" cy="48006"/>
                <wp:effectExtent l="0" t="0" r="0" b="0"/>
                <wp:docPr id="1679" name="Group 1679"/>
                <wp:cNvGraphicFramePr/>
                <a:graphic xmlns:a="http://schemas.openxmlformats.org/drawingml/2006/main">
                  <a:graphicData uri="http://schemas.microsoft.com/office/word/2010/wordprocessingGroup">
                    <wpg:wgp>
                      <wpg:cNvGrpSpPr/>
                      <wpg:grpSpPr>
                        <a:xfrm>
                          <a:off x="0" y="0"/>
                          <a:ext cx="266700" cy="48006"/>
                          <a:chOff x="0" y="0"/>
                          <a:chExt cx="266700" cy="48006"/>
                        </a:xfrm>
                      </wpg:grpSpPr>
                      <wps:wsp>
                        <wps:cNvPr id="2339" name="Shape 2339"/>
                        <wps:cNvSpPr/>
                        <wps:spPr>
                          <a:xfrm>
                            <a:off x="0" y="0"/>
                            <a:ext cx="266700" cy="48006"/>
                          </a:xfrm>
                          <a:custGeom>
                            <a:avLst/>
                            <a:gdLst/>
                            <a:ahLst/>
                            <a:cxnLst/>
                            <a:rect l="0" t="0" r="0" b="0"/>
                            <a:pathLst>
                              <a:path w="266700" h="48006">
                                <a:moveTo>
                                  <a:pt x="0" y="0"/>
                                </a:moveTo>
                                <a:lnTo>
                                  <a:pt x="266700" y="0"/>
                                </a:lnTo>
                                <a:lnTo>
                                  <a:pt x="266700" y="48006"/>
                                </a:lnTo>
                                <a:lnTo>
                                  <a:pt x="0" y="48006"/>
                                </a:lnTo>
                                <a:lnTo>
                                  <a:pt x="0" y="0"/>
                                </a:lnTo>
                              </a:path>
                            </a:pathLst>
                          </a:custGeom>
                          <a:ln w="0" cap="flat">
                            <a:miter lim="100000"/>
                          </a:ln>
                        </wps:spPr>
                        <wps:style>
                          <a:lnRef idx="0">
                            <a:srgbClr val="000000">
                              <a:alpha val="0"/>
                            </a:srgbClr>
                          </a:lnRef>
                          <a:fillRef idx="1">
                            <a:srgbClr val="00A3AD"/>
                          </a:fillRef>
                          <a:effectRef idx="0">
                            <a:scrgbClr r="0" g="0" b="0"/>
                          </a:effectRef>
                          <a:fontRef idx="none"/>
                        </wps:style>
                        <wps:bodyPr/>
                      </wps:wsp>
                    </wpg:wgp>
                  </a:graphicData>
                </a:graphic>
              </wp:inline>
            </w:drawing>
          </mc:Choice>
          <mc:Fallback xmlns:a="http://schemas.openxmlformats.org/drawingml/2006/main">
            <w:pict>
              <v:group id="Group 1679" style="width:21pt;height:3.77997pt;mso-position-horizontal-relative:char;mso-position-vertical-relative:line" coordsize="2667,480">
                <v:shape id="Shape 2340" style="position:absolute;width:2667;height:480;left:0;top:0;" coordsize="266700,48006" path="m0,0l266700,0l266700,48006l0,48006l0,0">
                  <v:stroke weight="0pt" endcap="flat" joinstyle="miter" miterlimit="1" on="false" color="#000000" opacity="0"/>
                  <v:fill on="true" color="#00a3ad"/>
                </v:shape>
              </v:group>
            </w:pict>
          </mc:Fallback>
        </mc:AlternateContent>
      </w:r>
    </w:p>
    <w:sectPr w:rsidR="00525EA7">
      <w:footnotePr>
        <w:numRestart w:val="eachPage"/>
      </w:footnotePr>
      <w:pgSz w:w="12240" w:h="15840"/>
      <w:pgMar w:top="486" w:right="1380" w:bottom="23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C4562" w14:textId="77777777" w:rsidR="00310A65" w:rsidRDefault="00917A0F">
      <w:pPr>
        <w:spacing w:after="0" w:line="240" w:lineRule="auto"/>
      </w:pPr>
      <w:r>
        <w:separator/>
      </w:r>
    </w:p>
  </w:endnote>
  <w:endnote w:type="continuationSeparator" w:id="0">
    <w:p w14:paraId="0FEA1C5E" w14:textId="77777777" w:rsidR="00310A65" w:rsidRDefault="00917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AB19C" w14:textId="77777777" w:rsidR="00525EA7" w:rsidRDefault="00917A0F">
      <w:pPr>
        <w:spacing w:after="1368" w:line="285" w:lineRule="auto"/>
        <w:ind w:left="0" w:right="0" w:firstLine="0"/>
      </w:pPr>
      <w:r>
        <w:separator/>
      </w:r>
    </w:p>
  </w:footnote>
  <w:footnote w:type="continuationSeparator" w:id="0">
    <w:p w14:paraId="19CD37DB" w14:textId="77777777" w:rsidR="00525EA7" w:rsidRDefault="00917A0F">
      <w:pPr>
        <w:spacing w:after="1368" w:line="285" w:lineRule="auto"/>
        <w:ind w:left="0" w:right="0" w:firstLine="0"/>
      </w:pPr>
      <w:r>
        <w:continuationSeparator/>
      </w:r>
    </w:p>
  </w:footnote>
  <w:footnote w:id="1">
    <w:p w14:paraId="3DF4F723" w14:textId="77777777" w:rsidR="00525EA7" w:rsidRDefault="00917A0F">
      <w:pPr>
        <w:pStyle w:val="footnotedescription"/>
        <w:spacing w:after="1368" w:line="285" w:lineRule="auto"/>
        <w:ind w:right="0"/>
      </w:pPr>
      <w:r>
        <w:rPr>
          <w:rStyle w:val="footnotemark"/>
        </w:rPr>
        <w:footnoteRef/>
      </w:r>
      <w:r>
        <w:t xml:space="preserve"> </w:t>
      </w:r>
      <w:r>
        <w:rPr>
          <w:sz w:val="20"/>
        </w:rPr>
        <w:t xml:space="preserve">The use of a Faculty Advisor to mentor residents in their learning and development is an option, but not required. A Faculty Advisor is a faculty member specifically appointed to individual resident(s) to review the residents’ academic progress during residency. </w:t>
      </w:r>
    </w:p>
    <w:p w14:paraId="79B9C3BE" w14:textId="551094E1" w:rsidR="00525EA7" w:rsidRDefault="00525EA7">
      <w:pPr>
        <w:pStyle w:val="footnotedescription"/>
        <w:spacing w:after="29" w:line="259" w:lineRule="auto"/>
        <w:ind w:right="60"/>
        <w:jc w:val="center"/>
      </w:pPr>
    </w:p>
    <w:p w14:paraId="66973B8B" w14:textId="77777777" w:rsidR="00525EA7" w:rsidRDefault="00917A0F">
      <w:pPr>
        <w:pStyle w:val="footnotedescription"/>
        <w:spacing w:after="0" w:line="259" w:lineRule="auto"/>
        <w:ind w:right="4542"/>
      </w:pPr>
      <w:r>
        <w:rPr>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B009B"/>
    <w:multiLevelType w:val="hybridMultilevel"/>
    <w:tmpl w:val="F0441D7C"/>
    <w:lvl w:ilvl="0" w:tplc="72AA7CB4">
      <w:start w:val="1"/>
      <w:numFmt w:val="bullet"/>
      <w:lvlText w:val="•"/>
      <w:lvlJc w:val="left"/>
      <w:pPr>
        <w:ind w:left="360"/>
      </w:pPr>
      <w:rPr>
        <w:rFonts w:ascii="Arial" w:eastAsia="Arial" w:hAnsi="Arial" w:cs="Arial"/>
        <w:b w:val="0"/>
        <w:i w:val="0"/>
        <w:strike w:val="0"/>
        <w:dstrike w:val="0"/>
        <w:color w:val="9A3324"/>
        <w:sz w:val="20"/>
        <w:szCs w:val="20"/>
        <w:u w:val="none" w:color="000000"/>
        <w:bdr w:val="none" w:sz="0" w:space="0" w:color="auto"/>
        <w:shd w:val="clear" w:color="auto" w:fill="auto"/>
        <w:vertAlign w:val="baseline"/>
      </w:rPr>
    </w:lvl>
    <w:lvl w:ilvl="1" w:tplc="6D7A5660">
      <w:start w:val="1"/>
      <w:numFmt w:val="bullet"/>
      <w:lvlText w:val=""/>
      <w:lvlJc w:val="left"/>
      <w:pPr>
        <w:ind w:left="1800"/>
      </w:pPr>
      <w:rPr>
        <w:rFonts w:ascii="Wingdings" w:eastAsia="Wingdings" w:hAnsi="Wingdings" w:cs="Wingdings"/>
        <w:b w:val="0"/>
        <w:i w:val="0"/>
        <w:strike w:val="0"/>
        <w:dstrike w:val="0"/>
        <w:color w:val="00767F"/>
        <w:sz w:val="20"/>
        <w:szCs w:val="20"/>
        <w:u w:val="none" w:color="000000"/>
        <w:bdr w:val="none" w:sz="0" w:space="0" w:color="auto"/>
        <w:shd w:val="clear" w:color="auto" w:fill="auto"/>
        <w:vertAlign w:val="baseline"/>
      </w:rPr>
    </w:lvl>
    <w:lvl w:ilvl="2" w:tplc="25E2DCD8">
      <w:start w:val="1"/>
      <w:numFmt w:val="bullet"/>
      <w:lvlText w:val="▪"/>
      <w:lvlJc w:val="left"/>
      <w:pPr>
        <w:ind w:left="2520"/>
      </w:pPr>
      <w:rPr>
        <w:rFonts w:ascii="Wingdings" w:eastAsia="Wingdings" w:hAnsi="Wingdings" w:cs="Wingdings"/>
        <w:b w:val="0"/>
        <w:i w:val="0"/>
        <w:strike w:val="0"/>
        <w:dstrike w:val="0"/>
        <w:color w:val="00767F"/>
        <w:sz w:val="20"/>
        <w:szCs w:val="20"/>
        <w:u w:val="none" w:color="000000"/>
        <w:bdr w:val="none" w:sz="0" w:space="0" w:color="auto"/>
        <w:shd w:val="clear" w:color="auto" w:fill="auto"/>
        <w:vertAlign w:val="baseline"/>
      </w:rPr>
    </w:lvl>
    <w:lvl w:ilvl="3" w:tplc="FA6E0CB2">
      <w:start w:val="1"/>
      <w:numFmt w:val="bullet"/>
      <w:lvlText w:val="•"/>
      <w:lvlJc w:val="left"/>
      <w:pPr>
        <w:ind w:left="3240"/>
      </w:pPr>
      <w:rPr>
        <w:rFonts w:ascii="Wingdings" w:eastAsia="Wingdings" w:hAnsi="Wingdings" w:cs="Wingdings"/>
        <w:b w:val="0"/>
        <w:i w:val="0"/>
        <w:strike w:val="0"/>
        <w:dstrike w:val="0"/>
        <w:color w:val="00767F"/>
        <w:sz w:val="20"/>
        <w:szCs w:val="20"/>
        <w:u w:val="none" w:color="000000"/>
        <w:bdr w:val="none" w:sz="0" w:space="0" w:color="auto"/>
        <w:shd w:val="clear" w:color="auto" w:fill="auto"/>
        <w:vertAlign w:val="baseline"/>
      </w:rPr>
    </w:lvl>
    <w:lvl w:ilvl="4" w:tplc="759440C4">
      <w:start w:val="1"/>
      <w:numFmt w:val="bullet"/>
      <w:lvlText w:val="o"/>
      <w:lvlJc w:val="left"/>
      <w:pPr>
        <w:ind w:left="3960"/>
      </w:pPr>
      <w:rPr>
        <w:rFonts w:ascii="Wingdings" w:eastAsia="Wingdings" w:hAnsi="Wingdings" w:cs="Wingdings"/>
        <w:b w:val="0"/>
        <w:i w:val="0"/>
        <w:strike w:val="0"/>
        <w:dstrike w:val="0"/>
        <w:color w:val="00767F"/>
        <w:sz w:val="20"/>
        <w:szCs w:val="20"/>
        <w:u w:val="none" w:color="000000"/>
        <w:bdr w:val="none" w:sz="0" w:space="0" w:color="auto"/>
        <w:shd w:val="clear" w:color="auto" w:fill="auto"/>
        <w:vertAlign w:val="baseline"/>
      </w:rPr>
    </w:lvl>
    <w:lvl w:ilvl="5" w:tplc="3250847E">
      <w:start w:val="1"/>
      <w:numFmt w:val="bullet"/>
      <w:lvlText w:val="▪"/>
      <w:lvlJc w:val="left"/>
      <w:pPr>
        <w:ind w:left="4680"/>
      </w:pPr>
      <w:rPr>
        <w:rFonts w:ascii="Wingdings" w:eastAsia="Wingdings" w:hAnsi="Wingdings" w:cs="Wingdings"/>
        <w:b w:val="0"/>
        <w:i w:val="0"/>
        <w:strike w:val="0"/>
        <w:dstrike w:val="0"/>
        <w:color w:val="00767F"/>
        <w:sz w:val="20"/>
        <w:szCs w:val="20"/>
        <w:u w:val="none" w:color="000000"/>
        <w:bdr w:val="none" w:sz="0" w:space="0" w:color="auto"/>
        <w:shd w:val="clear" w:color="auto" w:fill="auto"/>
        <w:vertAlign w:val="baseline"/>
      </w:rPr>
    </w:lvl>
    <w:lvl w:ilvl="6" w:tplc="45B6A26A">
      <w:start w:val="1"/>
      <w:numFmt w:val="bullet"/>
      <w:lvlText w:val="•"/>
      <w:lvlJc w:val="left"/>
      <w:pPr>
        <w:ind w:left="5400"/>
      </w:pPr>
      <w:rPr>
        <w:rFonts w:ascii="Wingdings" w:eastAsia="Wingdings" w:hAnsi="Wingdings" w:cs="Wingdings"/>
        <w:b w:val="0"/>
        <w:i w:val="0"/>
        <w:strike w:val="0"/>
        <w:dstrike w:val="0"/>
        <w:color w:val="00767F"/>
        <w:sz w:val="20"/>
        <w:szCs w:val="20"/>
        <w:u w:val="none" w:color="000000"/>
        <w:bdr w:val="none" w:sz="0" w:space="0" w:color="auto"/>
        <w:shd w:val="clear" w:color="auto" w:fill="auto"/>
        <w:vertAlign w:val="baseline"/>
      </w:rPr>
    </w:lvl>
    <w:lvl w:ilvl="7" w:tplc="599C3BFA">
      <w:start w:val="1"/>
      <w:numFmt w:val="bullet"/>
      <w:lvlText w:val="o"/>
      <w:lvlJc w:val="left"/>
      <w:pPr>
        <w:ind w:left="6120"/>
      </w:pPr>
      <w:rPr>
        <w:rFonts w:ascii="Wingdings" w:eastAsia="Wingdings" w:hAnsi="Wingdings" w:cs="Wingdings"/>
        <w:b w:val="0"/>
        <w:i w:val="0"/>
        <w:strike w:val="0"/>
        <w:dstrike w:val="0"/>
        <w:color w:val="00767F"/>
        <w:sz w:val="20"/>
        <w:szCs w:val="20"/>
        <w:u w:val="none" w:color="000000"/>
        <w:bdr w:val="none" w:sz="0" w:space="0" w:color="auto"/>
        <w:shd w:val="clear" w:color="auto" w:fill="auto"/>
        <w:vertAlign w:val="baseline"/>
      </w:rPr>
    </w:lvl>
    <w:lvl w:ilvl="8" w:tplc="583EDD58">
      <w:start w:val="1"/>
      <w:numFmt w:val="bullet"/>
      <w:lvlText w:val="▪"/>
      <w:lvlJc w:val="left"/>
      <w:pPr>
        <w:ind w:left="6840"/>
      </w:pPr>
      <w:rPr>
        <w:rFonts w:ascii="Wingdings" w:eastAsia="Wingdings" w:hAnsi="Wingdings" w:cs="Wingdings"/>
        <w:b w:val="0"/>
        <w:i w:val="0"/>
        <w:strike w:val="0"/>
        <w:dstrike w:val="0"/>
        <w:color w:val="00767F"/>
        <w:sz w:val="20"/>
        <w:szCs w:val="20"/>
        <w:u w:val="none" w:color="000000"/>
        <w:bdr w:val="none" w:sz="0" w:space="0" w:color="auto"/>
        <w:shd w:val="clear" w:color="auto" w:fill="auto"/>
        <w:vertAlign w:val="baseline"/>
      </w:rPr>
    </w:lvl>
  </w:abstractNum>
  <w:abstractNum w:abstractNumId="1" w15:restartNumberingAfterBreak="0">
    <w:nsid w:val="4B1D525A"/>
    <w:multiLevelType w:val="hybridMultilevel"/>
    <w:tmpl w:val="FD8C846E"/>
    <w:lvl w:ilvl="0" w:tplc="0D5C091E">
      <w:start w:val="1"/>
      <w:numFmt w:val="bullet"/>
      <w:lvlText w:val="•"/>
      <w:lvlJc w:val="left"/>
      <w:pPr>
        <w:ind w:left="360"/>
      </w:pPr>
      <w:rPr>
        <w:rFonts w:ascii="Arial" w:eastAsia="Arial" w:hAnsi="Arial" w:cs="Arial"/>
        <w:b w:val="0"/>
        <w:i w:val="0"/>
        <w:strike w:val="0"/>
        <w:dstrike w:val="0"/>
        <w:color w:val="9A3324"/>
        <w:sz w:val="20"/>
        <w:szCs w:val="20"/>
        <w:u w:val="none" w:color="000000"/>
        <w:bdr w:val="none" w:sz="0" w:space="0" w:color="auto"/>
        <w:shd w:val="clear" w:color="auto" w:fill="auto"/>
        <w:vertAlign w:val="baseline"/>
      </w:rPr>
    </w:lvl>
    <w:lvl w:ilvl="1" w:tplc="0890B5AC">
      <w:start w:val="1"/>
      <w:numFmt w:val="bullet"/>
      <w:lvlText w:val="o"/>
      <w:lvlJc w:val="left"/>
      <w:pPr>
        <w:ind w:left="1080"/>
      </w:pPr>
      <w:rPr>
        <w:rFonts w:ascii="Segoe UI Symbol" w:eastAsia="Segoe UI Symbol" w:hAnsi="Segoe UI Symbol" w:cs="Segoe UI Symbol"/>
        <w:b w:val="0"/>
        <w:i w:val="0"/>
        <w:strike w:val="0"/>
        <w:dstrike w:val="0"/>
        <w:color w:val="9A3324"/>
        <w:sz w:val="20"/>
        <w:szCs w:val="20"/>
        <w:u w:val="none" w:color="000000"/>
        <w:bdr w:val="none" w:sz="0" w:space="0" w:color="auto"/>
        <w:shd w:val="clear" w:color="auto" w:fill="auto"/>
        <w:vertAlign w:val="baseline"/>
      </w:rPr>
    </w:lvl>
    <w:lvl w:ilvl="2" w:tplc="3348DBA6">
      <w:start w:val="1"/>
      <w:numFmt w:val="bullet"/>
      <w:lvlText w:val="▪"/>
      <w:lvlJc w:val="left"/>
      <w:pPr>
        <w:ind w:left="1800"/>
      </w:pPr>
      <w:rPr>
        <w:rFonts w:ascii="Segoe UI Symbol" w:eastAsia="Segoe UI Symbol" w:hAnsi="Segoe UI Symbol" w:cs="Segoe UI Symbol"/>
        <w:b w:val="0"/>
        <w:i w:val="0"/>
        <w:strike w:val="0"/>
        <w:dstrike w:val="0"/>
        <w:color w:val="9A3324"/>
        <w:sz w:val="20"/>
        <w:szCs w:val="20"/>
        <w:u w:val="none" w:color="000000"/>
        <w:bdr w:val="none" w:sz="0" w:space="0" w:color="auto"/>
        <w:shd w:val="clear" w:color="auto" w:fill="auto"/>
        <w:vertAlign w:val="baseline"/>
      </w:rPr>
    </w:lvl>
    <w:lvl w:ilvl="3" w:tplc="1FC4EE14">
      <w:start w:val="1"/>
      <w:numFmt w:val="bullet"/>
      <w:lvlText w:val="•"/>
      <w:lvlJc w:val="left"/>
      <w:pPr>
        <w:ind w:left="2520"/>
      </w:pPr>
      <w:rPr>
        <w:rFonts w:ascii="Arial" w:eastAsia="Arial" w:hAnsi="Arial" w:cs="Arial"/>
        <w:b w:val="0"/>
        <w:i w:val="0"/>
        <w:strike w:val="0"/>
        <w:dstrike w:val="0"/>
        <w:color w:val="9A3324"/>
        <w:sz w:val="20"/>
        <w:szCs w:val="20"/>
        <w:u w:val="none" w:color="000000"/>
        <w:bdr w:val="none" w:sz="0" w:space="0" w:color="auto"/>
        <w:shd w:val="clear" w:color="auto" w:fill="auto"/>
        <w:vertAlign w:val="baseline"/>
      </w:rPr>
    </w:lvl>
    <w:lvl w:ilvl="4" w:tplc="11C285BA">
      <w:start w:val="1"/>
      <w:numFmt w:val="bullet"/>
      <w:lvlText w:val="o"/>
      <w:lvlJc w:val="left"/>
      <w:pPr>
        <w:ind w:left="3240"/>
      </w:pPr>
      <w:rPr>
        <w:rFonts w:ascii="Segoe UI Symbol" w:eastAsia="Segoe UI Symbol" w:hAnsi="Segoe UI Symbol" w:cs="Segoe UI Symbol"/>
        <w:b w:val="0"/>
        <w:i w:val="0"/>
        <w:strike w:val="0"/>
        <w:dstrike w:val="0"/>
        <w:color w:val="9A3324"/>
        <w:sz w:val="20"/>
        <w:szCs w:val="20"/>
        <w:u w:val="none" w:color="000000"/>
        <w:bdr w:val="none" w:sz="0" w:space="0" w:color="auto"/>
        <w:shd w:val="clear" w:color="auto" w:fill="auto"/>
        <w:vertAlign w:val="baseline"/>
      </w:rPr>
    </w:lvl>
    <w:lvl w:ilvl="5" w:tplc="C506EF18">
      <w:start w:val="1"/>
      <w:numFmt w:val="bullet"/>
      <w:lvlText w:val="▪"/>
      <w:lvlJc w:val="left"/>
      <w:pPr>
        <w:ind w:left="3960"/>
      </w:pPr>
      <w:rPr>
        <w:rFonts w:ascii="Segoe UI Symbol" w:eastAsia="Segoe UI Symbol" w:hAnsi="Segoe UI Symbol" w:cs="Segoe UI Symbol"/>
        <w:b w:val="0"/>
        <w:i w:val="0"/>
        <w:strike w:val="0"/>
        <w:dstrike w:val="0"/>
        <w:color w:val="9A3324"/>
        <w:sz w:val="20"/>
        <w:szCs w:val="20"/>
        <w:u w:val="none" w:color="000000"/>
        <w:bdr w:val="none" w:sz="0" w:space="0" w:color="auto"/>
        <w:shd w:val="clear" w:color="auto" w:fill="auto"/>
        <w:vertAlign w:val="baseline"/>
      </w:rPr>
    </w:lvl>
    <w:lvl w:ilvl="6" w:tplc="347E1144">
      <w:start w:val="1"/>
      <w:numFmt w:val="bullet"/>
      <w:lvlText w:val="•"/>
      <w:lvlJc w:val="left"/>
      <w:pPr>
        <w:ind w:left="4680"/>
      </w:pPr>
      <w:rPr>
        <w:rFonts w:ascii="Arial" w:eastAsia="Arial" w:hAnsi="Arial" w:cs="Arial"/>
        <w:b w:val="0"/>
        <w:i w:val="0"/>
        <w:strike w:val="0"/>
        <w:dstrike w:val="0"/>
        <w:color w:val="9A3324"/>
        <w:sz w:val="20"/>
        <w:szCs w:val="20"/>
        <w:u w:val="none" w:color="000000"/>
        <w:bdr w:val="none" w:sz="0" w:space="0" w:color="auto"/>
        <w:shd w:val="clear" w:color="auto" w:fill="auto"/>
        <w:vertAlign w:val="baseline"/>
      </w:rPr>
    </w:lvl>
    <w:lvl w:ilvl="7" w:tplc="C73E2630">
      <w:start w:val="1"/>
      <w:numFmt w:val="bullet"/>
      <w:lvlText w:val="o"/>
      <w:lvlJc w:val="left"/>
      <w:pPr>
        <w:ind w:left="5400"/>
      </w:pPr>
      <w:rPr>
        <w:rFonts w:ascii="Segoe UI Symbol" w:eastAsia="Segoe UI Symbol" w:hAnsi="Segoe UI Symbol" w:cs="Segoe UI Symbol"/>
        <w:b w:val="0"/>
        <w:i w:val="0"/>
        <w:strike w:val="0"/>
        <w:dstrike w:val="0"/>
        <w:color w:val="9A3324"/>
        <w:sz w:val="20"/>
        <w:szCs w:val="20"/>
        <w:u w:val="none" w:color="000000"/>
        <w:bdr w:val="none" w:sz="0" w:space="0" w:color="auto"/>
        <w:shd w:val="clear" w:color="auto" w:fill="auto"/>
        <w:vertAlign w:val="baseline"/>
      </w:rPr>
    </w:lvl>
    <w:lvl w:ilvl="8" w:tplc="6EE0FD8C">
      <w:start w:val="1"/>
      <w:numFmt w:val="bullet"/>
      <w:lvlText w:val="▪"/>
      <w:lvlJc w:val="left"/>
      <w:pPr>
        <w:ind w:left="6120"/>
      </w:pPr>
      <w:rPr>
        <w:rFonts w:ascii="Segoe UI Symbol" w:eastAsia="Segoe UI Symbol" w:hAnsi="Segoe UI Symbol" w:cs="Segoe UI Symbol"/>
        <w:b w:val="0"/>
        <w:i w:val="0"/>
        <w:strike w:val="0"/>
        <w:dstrike w:val="0"/>
        <w:color w:val="9A3324"/>
        <w:sz w:val="20"/>
        <w:szCs w:val="20"/>
        <w:u w:val="none" w:color="000000"/>
        <w:bdr w:val="none" w:sz="0" w:space="0" w:color="auto"/>
        <w:shd w:val="clear" w:color="auto" w:fill="auto"/>
        <w:vertAlign w:val="baseline"/>
      </w:rPr>
    </w:lvl>
  </w:abstractNum>
  <w:num w:numId="1" w16cid:durableId="664939561">
    <w:abstractNumId w:val="1"/>
  </w:num>
  <w:num w:numId="2" w16cid:durableId="131213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EA7"/>
    <w:rsid w:val="00310A65"/>
    <w:rsid w:val="00383349"/>
    <w:rsid w:val="00525EA7"/>
    <w:rsid w:val="00917A0F"/>
    <w:rsid w:val="00CB6513"/>
    <w:rsid w:val="00D56A76"/>
    <w:rsid w:val="00DA10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D0EA9"/>
  <w15:docId w15:val="{A31851A3-A954-4CFA-A75B-90F7B56B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67" w:lineRule="auto"/>
      <w:ind w:left="10" w:right="8"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line="268" w:lineRule="auto"/>
      <w:outlineLvl w:val="0"/>
    </w:pPr>
    <w:rPr>
      <w:rFonts w:ascii="Calibri" w:eastAsia="Calibri" w:hAnsi="Calibri" w:cs="Calibri"/>
      <w:color w:val="003A5B"/>
      <w:sz w:val="4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0076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767F"/>
      <w:sz w:val="28"/>
    </w:rPr>
  </w:style>
  <w:style w:type="character" w:customStyle="1" w:styleId="Heading1Char">
    <w:name w:val="Heading 1 Char"/>
    <w:link w:val="Heading1"/>
    <w:rPr>
      <w:rFonts w:ascii="Calibri" w:eastAsia="Calibri" w:hAnsi="Calibri" w:cs="Calibri"/>
      <w:color w:val="003A5B"/>
      <w:sz w:val="48"/>
    </w:rPr>
  </w:style>
  <w:style w:type="paragraph" w:customStyle="1" w:styleId="footnotedescription">
    <w:name w:val="footnote description"/>
    <w:next w:val="Normal"/>
    <w:link w:val="footnotedescriptionChar"/>
    <w:hidden/>
    <w:pPr>
      <w:spacing w:after="699" w:line="272" w:lineRule="auto"/>
      <w:ind w:right="30"/>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footnotemark">
    <w:name w:val="footnote mark"/>
    <w:hidden/>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857</Words>
  <Characters>4889</Characters>
  <Application>Microsoft Office Word</Application>
  <DocSecurity>0</DocSecurity>
  <Lines>40</Lines>
  <Paragraphs>11</Paragraphs>
  <ScaleCrop>false</ScaleCrop>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Competence Committee Guidelines_En_ December 2022</dc:title>
  <dc:subject/>
  <dc:creator>cbaird</dc:creator>
  <cp:keywords/>
  <cp:lastModifiedBy>Moledina, Nazneen</cp:lastModifiedBy>
  <cp:revision>6</cp:revision>
  <dcterms:created xsi:type="dcterms:W3CDTF">2023-02-27T18:23:00Z</dcterms:created>
  <dcterms:modified xsi:type="dcterms:W3CDTF">2023-02-27T20:18:00Z</dcterms:modified>
</cp:coreProperties>
</file>